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699" w:rsidRDefault="00654D57" w:rsidP="00D87699">
      <w:pPr>
        <w:pStyle w:val="HeadHatzaotHok"/>
        <w:keepNext w:val="0"/>
        <w:keepLines w:val="0"/>
        <w:rPr>
          <w:rtl/>
        </w:rPr>
      </w:pPr>
      <w:bookmarkStart w:id="0" w:name="_GoBack"/>
      <w:r>
        <w:rPr>
          <w:rFonts w:hint="cs"/>
          <w:rtl/>
        </w:rPr>
        <w:t>דברי הסבר ל</w:t>
      </w:r>
      <w:r w:rsidR="00D87699">
        <w:rPr>
          <w:rtl/>
        </w:rPr>
        <w:t xml:space="preserve">כללי </w:t>
      </w:r>
      <w:r w:rsidR="00D87699">
        <w:rPr>
          <w:rFonts w:hint="cs"/>
          <w:rtl/>
        </w:rPr>
        <w:t>ההגבלים העסקיים (פטור סוג להסדרים שאינם אופקיים ואין בהם כבילות מחיר מסוימות) (תיקון), התשע"ח-2018</w:t>
      </w:r>
    </w:p>
    <w:bookmarkEnd w:id="0"/>
    <w:p w:rsidR="00654D57" w:rsidRDefault="00654D57" w:rsidP="00D87699">
      <w:pPr>
        <w:pStyle w:val="HeadHatzaotHok"/>
        <w:keepNext w:val="0"/>
        <w:keepLines w:val="0"/>
        <w:rPr>
          <w:rtl/>
        </w:rPr>
      </w:pPr>
    </w:p>
    <w:p w:rsidR="00D87699" w:rsidRDefault="00D87699" w:rsidP="00FB555F">
      <w:pPr>
        <w:rPr>
          <w:rtl/>
        </w:rPr>
      </w:pPr>
      <w:r>
        <w:rPr>
          <w:rFonts w:hint="cs"/>
          <w:b/>
          <w:bCs/>
          <w:rtl/>
        </w:rPr>
        <w:t>כללי</w:t>
      </w:r>
      <w:r>
        <w:rPr>
          <w:b/>
          <w:bCs/>
          <w:rtl/>
        </w:rPr>
        <w:tab/>
      </w:r>
      <w:proofErr w:type="spellStart"/>
      <w:r>
        <w:rPr>
          <w:rtl/>
        </w:rPr>
        <w:t>כללי</w:t>
      </w:r>
      <w:proofErr w:type="spellEnd"/>
      <w:r>
        <w:rPr>
          <w:rtl/>
        </w:rPr>
        <w:t xml:space="preserve"> </w:t>
      </w:r>
      <w:r>
        <w:rPr>
          <w:rFonts w:hint="cs"/>
          <w:rtl/>
        </w:rPr>
        <w:t xml:space="preserve">ההגבלים העסקיים (פטור סוג להסדרים שאינם אופקיים ואין בהם כבילות מחיר מסוימות) (תיקון), התשע"ח-2018 (להלן </w:t>
      </w:r>
      <w:r>
        <w:rPr>
          <w:rtl/>
        </w:rPr>
        <w:t>–</w:t>
      </w:r>
      <w:r>
        <w:rPr>
          <w:rFonts w:hint="cs"/>
          <w:rtl/>
        </w:rPr>
        <w:t xml:space="preserve"> "</w:t>
      </w:r>
      <w:r w:rsidR="00FB555F">
        <w:rPr>
          <w:rFonts w:hint="cs"/>
          <w:b/>
          <w:bCs/>
          <w:rtl/>
        </w:rPr>
        <w:t>הכללים המתקנים</w:t>
      </w:r>
      <w:r>
        <w:rPr>
          <w:rFonts w:hint="cs"/>
          <w:rtl/>
        </w:rPr>
        <w:t xml:space="preserve">") מחדשים את תוקפם של </w:t>
      </w:r>
      <w:r w:rsidRPr="006B72F2">
        <w:rPr>
          <w:rFonts w:hint="cs"/>
          <w:rtl/>
        </w:rPr>
        <w:t>כללי ההגבלים העסקיים (פטור סוג להסדרים שאינם אופקיים ואין בהם כבילות מחיר מסוימות) התשע"ג-</w:t>
      </w:r>
      <w:r>
        <w:rPr>
          <w:rFonts w:hint="cs"/>
          <w:rtl/>
        </w:rPr>
        <w:t>2013</w:t>
      </w:r>
      <w:r w:rsidR="00BE1A65">
        <w:rPr>
          <w:rFonts w:hint="cs"/>
          <w:rtl/>
        </w:rPr>
        <w:t xml:space="preserve"> (</w:t>
      </w:r>
      <w:r w:rsidR="00BE1A65">
        <w:rPr>
          <w:rFonts w:hint="cs"/>
          <w:b/>
          <w:bCs/>
          <w:rtl/>
        </w:rPr>
        <w:t>"פטור הסוג הקודם"</w:t>
      </w:r>
      <w:r w:rsidR="00BE1A65">
        <w:rPr>
          <w:rFonts w:hint="cs"/>
          <w:rtl/>
        </w:rPr>
        <w:t>)</w:t>
      </w:r>
      <w:r>
        <w:rPr>
          <w:rFonts w:hint="cs"/>
          <w:rtl/>
        </w:rPr>
        <w:t xml:space="preserve">. לצד חידוש התוקף, </w:t>
      </w:r>
      <w:r w:rsidR="00FB555F">
        <w:rPr>
          <w:rFonts w:hint="cs"/>
          <w:rtl/>
        </w:rPr>
        <w:t>הכללים המתקנים</w:t>
      </w:r>
      <w:r w:rsidR="00BE1A65">
        <w:rPr>
          <w:rFonts w:hint="cs"/>
          <w:rtl/>
        </w:rPr>
        <w:t xml:space="preserve"> מטמיע</w:t>
      </w:r>
      <w:r w:rsidR="00FB555F">
        <w:rPr>
          <w:rFonts w:hint="cs"/>
          <w:rtl/>
        </w:rPr>
        <w:t>ים</w:t>
      </w:r>
      <w:r>
        <w:rPr>
          <w:rFonts w:hint="cs"/>
          <w:rtl/>
        </w:rPr>
        <w:t xml:space="preserve"> מספר תיקונים </w:t>
      </w:r>
      <w:r w:rsidR="00BE1A65">
        <w:rPr>
          <w:rFonts w:hint="cs"/>
          <w:rtl/>
        </w:rPr>
        <w:t>בפטור הסוג הקודם</w:t>
      </w:r>
      <w:r>
        <w:rPr>
          <w:rFonts w:hint="cs"/>
          <w:rtl/>
        </w:rPr>
        <w:t xml:space="preserve">. להלן יובא הסבר לתיקון, שיחולק על פי </w:t>
      </w:r>
      <w:r w:rsidR="00FB555F">
        <w:rPr>
          <w:rFonts w:hint="cs"/>
          <w:rtl/>
        </w:rPr>
        <w:t>הכללים המתקנים</w:t>
      </w:r>
      <w:r>
        <w:rPr>
          <w:rFonts w:hint="cs"/>
          <w:rtl/>
        </w:rPr>
        <w:t>.</w:t>
      </w:r>
    </w:p>
    <w:p w:rsidR="00654D57" w:rsidRPr="00D87699" w:rsidRDefault="00654D57" w:rsidP="00BE1A65">
      <w:pPr>
        <w:rPr>
          <w:rtl/>
        </w:rPr>
      </w:pPr>
    </w:p>
    <w:p w:rsidR="00D87699" w:rsidRDefault="00D87699" w:rsidP="00FB555F">
      <w:pPr>
        <w:rPr>
          <w:rtl/>
        </w:rPr>
      </w:pPr>
      <w:r>
        <w:rPr>
          <w:rFonts w:hint="cs"/>
          <w:b/>
          <w:bCs/>
          <w:rtl/>
        </w:rPr>
        <w:t>סעיף 1</w:t>
      </w:r>
      <w:r>
        <w:rPr>
          <w:b/>
          <w:bCs/>
          <w:rtl/>
        </w:rPr>
        <w:tab/>
      </w:r>
      <w:r w:rsidRPr="008B7A35">
        <w:rPr>
          <w:rFonts w:hint="cs"/>
          <w:rtl/>
        </w:rPr>
        <w:t>ל</w:t>
      </w:r>
      <w:r>
        <w:rPr>
          <w:rFonts w:hint="cs"/>
          <w:rtl/>
        </w:rPr>
        <w:t xml:space="preserve">כותרת </w:t>
      </w:r>
      <w:r w:rsidR="00FB555F">
        <w:rPr>
          <w:rFonts w:hint="cs"/>
          <w:rtl/>
        </w:rPr>
        <w:t xml:space="preserve">פטור הסוג הקודם </w:t>
      </w:r>
      <w:r w:rsidRPr="008B7A35">
        <w:rPr>
          <w:rFonts w:hint="cs"/>
          <w:rtl/>
        </w:rPr>
        <w:t>י</w:t>
      </w:r>
      <w:r>
        <w:rPr>
          <w:rFonts w:hint="cs"/>
          <w:rtl/>
        </w:rPr>
        <w:t>ת</w:t>
      </w:r>
      <w:r w:rsidRPr="008B7A35">
        <w:rPr>
          <w:rFonts w:hint="cs"/>
          <w:rtl/>
        </w:rPr>
        <w:t xml:space="preserve">ווסף "הוראת שעה". זאת, בשל טיבם הזמני של </w:t>
      </w:r>
      <w:r>
        <w:rPr>
          <w:rFonts w:hint="cs"/>
          <w:rtl/>
        </w:rPr>
        <w:t>כללי פטור</w:t>
      </w:r>
      <w:r w:rsidRPr="008B7A35">
        <w:rPr>
          <w:rFonts w:hint="cs"/>
          <w:rtl/>
        </w:rPr>
        <w:t xml:space="preserve"> הסוג.</w:t>
      </w:r>
    </w:p>
    <w:p w:rsidR="00654D57" w:rsidRPr="009A7C74" w:rsidRDefault="00654D57" w:rsidP="00D87699">
      <w:pPr>
        <w:rPr>
          <w:rtl/>
        </w:rPr>
      </w:pPr>
    </w:p>
    <w:p w:rsidR="00D87699" w:rsidRPr="006B72F2" w:rsidRDefault="00D87699" w:rsidP="00BE1A65">
      <w:pPr>
        <w:rPr>
          <w:rtl/>
        </w:rPr>
      </w:pPr>
      <w:r>
        <w:rPr>
          <w:rFonts w:hint="cs"/>
          <w:b/>
          <w:bCs/>
          <w:rtl/>
        </w:rPr>
        <w:t>סעיף 2</w:t>
      </w:r>
      <w:r>
        <w:rPr>
          <w:b/>
          <w:bCs/>
          <w:rtl/>
        </w:rPr>
        <w:tab/>
      </w:r>
      <w:r w:rsidRPr="009A7C74">
        <w:rPr>
          <w:rFonts w:hint="cs"/>
          <w:rtl/>
        </w:rPr>
        <w:t>הגדרת</w:t>
      </w:r>
      <w:r w:rsidRPr="006B72F2">
        <w:rPr>
          <w:rFonts w:hint="cs"/>
          <w:rtl/>
        </w:rPr>
        <w:t xml:space="preserve"> "מתחרים" ב</w:t>
      </w:r>
      <w:r w:rsidR="00BE1A65">
        <w:rPr>
          <w:rFonts w:hint="cs"/>
          <w:rtl/>
        </w:rPr>
        <w:t>פטור הסוג הקודם</w:t>
      </w:r>
      <w:r w:rsidRPr="006B72F2">
        <w:rPr>
          <w:rFonts w:hint="cs"/>
          <w:rtl/>
        </w:rPr>
        <w:t xml:space="preserve">, הגדירה מתחרים באופן רחב יותר מן ההגדרה המקובלת. דברי ההסבר לפטור הסוג </w:t>
      </w:r>
      <w:r>
        <w:rPr>
          <w:rFonts w:hint="cs"/>
          <w:rtl/>
        </w:rPr>
        <w:t>הקודם</w:t>
      </w:r>
      <w:r w:rsidRPr="006B72F2">
        <w:rPr>
          <w:rFonts w:hint="cs"/>
          <w:rtl/>
        </w:rPr>
        <w:t xml:space="preserve"> מסבירים כי ההגדרה הרחבה נובעת בין השאר מתוך שאיפה לאפשר מעבר מתון ומדורג ממשטר של היתרים למשטר של הערכה עצמית.</w:t>
      </w:r>
      <w:r w:rsidRPr="006B72F2">
        <w:rPr>
          <w:rStyle w:val="FootnoteReference"/>
          <w:sz w:val="20"/>
          <w:szCs w:val="20"/>
          <w:rtl/>
        </w:rPr>
        <w:footnoteReference w:id="1"/>
      </w:r>
      <w:r w:rsidRPr="006B72F2">
        <w:rPr>
          <w:sz w:val="20"/>
          <w:szCs w:val="20"/>
          <w:rtl/>
        </w:rPr>
        <w:t xml:space="preserve"> </w:t>
      </w:r>
      <w:r w:rsidRPr="006B72F2">
        <w:rPr>
          <w:rFonts w:hint="cs"/>
          <w:rtl/>
        </w:rPr>
        <w:t>כחלק מאותה הגדרה רחבה, נכללו מונחים עמומים, כגון "חפיפה" או "דמיון", שיש קושי ביישומם ושלא קיימת מתודולוגיה סדורה עבורם. על כך התקבלה ביקורת מגורמים מקצועיים הנדרשים לשימוש בפטור הסוג הק</w:t>
      </w:r>
      <w:r>
        <w:rPr>
          <w:rFonts w:hint="cs"/>
          <w:rtl/>
        </w:rPr>
        <w:t>וד</w:t>
      </w:r>
      <w:r w:rsidRPr="006B72F2">
        <w:rPr>
          <w:rFonts w:hint="cs"/>
          <w:rtl/>
        </w:rPr>
        <w:t xml:space="preserve">ם. לנוכח העמימות האמורה, עלה הצורך לחדש את הגדרת מתחרים במסגרת חידוש פטור הסוג. </w:t>
      </w:r>
    </w:p>
    <w:p w:rsidR="00D87699" w:rsidRDefault="00D87699" w:rsidP="00FB555F">
      <w:pPr>
        <w:rPr>
          <w:rtl/>
        </w:rPr>
      </w:pPr>
      <w:r>
        <w:rPr>
          <w:b/>
          <w:bCs/>
          <w:rtl/>
        </w:rPr>
        <w:tab/>
      </w:r>
      <w:r w:rsidR="00FB555F">
        <w:rPr>
          <w:rFonts w:hint="cs"/>
          <w:b/>
          <w:bCs/>
          <w:rtl/>
        </w:rPr>
        <w:t>פסקאות</w:t>
      </w:r>
      <w:r>
        <w:rPr>
          <w:rFonts w:hint="cs"/>
          <w:b/>
          <w:bCs/>
          <w:rtl/>
        </w:rPr>
        <w:t xml:space="preserve"> (1) ו-(2) להגדרה: </w:t>
      </w:r>
      <w:r w:rsidRPr="006B72F2">
        <w:rPr>
          <w:rFonts w:hint="cs"/>
          <w:rtl/>
        </w:rPr>
        <w:t xml:space="preserve">החלופה הקיימת בכללי ההגבלים העסקיים (הוראות והגדרות כלליות), התשס"ו-2006, מתחקה אך ורק אחר שאלת הגדרת השוק והתחליפיות בין השירותים והמוצרים המסופקים על ידי השחקנים השונים. הגדרה כלכלית זו אינה מספקת לצורך תחולת פטור סוג שראוי </w:t>
      </w:r>
      <w:r>
        <w:rPr>
          <w:rFonts w:hint="cs"/>
          <w:rtl/>
        </w:rPr>
        <w:t>שיחול ביחס</w:t>
      </w:r>
      <w:r w:rsidRPr="006B72F2">
        <w:rPr>
          <w:rFonts w:hint="cs"/>
          <w:rtl/>
        </w:rPr>
        <w:t xml:space="preserve"> להסדרים שאינם אופקיים, שכן קיימים לא מעט מקרים בהם הסדרים בין מי שמספקים או רוכשים טובין שאינם עונים בהכרח לאותה הגדרת שוק ייחשבו כהסדרים אופקיים. כך למשל ישנם מוצרים שהם מבודלים מבחינת מיתוג</w:t>
      </w:r>
      <w:r>
        <w:rPr>
          <w:rFonts w:hint="cs"/>
          <w:rtl/>
        </w:rPr>
        <w:t>,</w:t>
      </w:r>
      <w:r w:rsidRPr="006B72F2">
        <w:rPr>
          <w:rFonts w:hint="cs"/>
          <w:rtl/>
        </w:rPr>
        <w:t xml:space="preserve"> מחיר או אזור גיאוגרפי שבו הם נמכרים, ולמרות זאת </w:t>
      </w:r>
      <w:r>
        <w:rPr>
          <w:rFonts w:hint="cs"/>
          <w:rtl/>
        </w:rPr>
        <w:t>מתקיימת ביניהם תחרות</w:t>
      </w:r>
      <w:r w:rsidRPr="006B72F2">
        <w:rPr>
          <w:rFonts w:hint="cs"/>
          <w:rtl/>
        </w:rPr>
        <w:t xml:space="preserve"> ו</w:t>
      </w:r>
      <w:r>
        <w:rPr>
          <w:rFonts w:hint="cs"/>
          <w:rtl/>
        </w:rPr>
        <w:t xml:space="preserve">ראוי כי </w:t>
      </w:r>
      <w:r w:rsidRPr="006B72F2">
        <w:rPr>
          <w:rFonts w:hint="cs"/>
          <w:rtl/>
        </w:rPr>
        <w:t xml:space="preserve">ספקיהם ייחשבו כמתחרים לצרכי פטור הסוג. </w:t>
      </w:r>
      <w:r>
        <w:rPr>
          <w:rFonts w:hint="cs"/>
          <w:rtl/>
        </w:rPr>
        <w:t xml:space="preserve">כן </w:t>
      </w:r>
      <w:r w:rsidRPr="006B72F2">
        <w:rPr>
          <w:rFonts w:hint="cs"/>
          <w:rtl/>
        </w:rPr>
        <w:t xml:space="preserve">ניתן למצוא לא מעט מקרים בהם מוצריהם או שירותיהם של שחקנים שונים עשויים שלא לענות על אותה הגדרת שוק, אך נמצאים באותה זירה תחרותית בהקשרים שונים, כגון מכרז, הליך </w:t>
      </w:r>
      <w:proofErr w:type="spellStart"/>
      <w:r w:rsidRPr="006B72F2">
        <w:rPr>
          <w:rFonts w:hint="cs"/>
          <w:rtl/>
        </w:rPr>
        <w:t>תיחור</w:t>
      </w:r>
      <w:proofErr w:type="spellEnd"/>
      <w:r w:rsidRPr="006B72F2">
        <w:rPr>
          <w:rFonts w:hint="cs"/>
          <w:rtl/>
        </w:rPr>
        <w:t>, או כל הליך אחר של בחינת ובחירת מוצרים ושירותים.</w:t>
      </w:r>
      <w:r>
        <w:rPr>
          <w:rFonts w:hint="cs"/>
          <w:rtl/>
        </w:rPr>
        <w:t xml:space="preserve"> </w:t>
      </w:r>
    </w:p>
    <w:p w:rsidR="00D87699" w:rsidRDefault="00D87699" w:rsidP="00BE1A65">
      <w:pPr>
        <w:rPr>
          <w:rtl/>
        </w:rPr>
      </w:pPr>
      <w:r>
        <w:rPr>
          <w:rtl/>
        </w:rPr>
        <w:tab/>
      </w:r>
      <w:r w:rsidRPr="009F14CF">
        <w:rPr>
          <w:rFonts w:hint="cs"/>
          <w:rtl/>
        </w:rPr>
        <w:t xml:space="preserve">בשל </w:t>
      </w:r>
      <w:r>
        <w:rPr>
          <w:rFonts w:hint="cs"/>
          <w:rtl/>
        </w:rPr>
        <w:t>אלו</w:t>
      </w:r>
      <w:r w:rsidRPr="009F14CF">
        <w:rPr>
          <w:rFonts w:hint="cs"/>
          <w:rtl/>
        </w:rPr>
        <w:t xml:space="preserve">, </w:t>
      </w:r>
      <w:r>
        <w:rPr>
          <w:rFonts w:hint="cs"/>
          <w:rtl/>
        </w:rPr>
        <w:t>תיקון הגדרת מתחרים בפטור הסוג</w:t>
      </w:r>
      <w:r w:rsidR="00BE1A65">
        <w:rPr>
          <w:rFonts w:hint="cs"/>
          <w:rtl/>
        </w:rPr>
        <w:t xml:space="preserve"> המתוקן</w:t>
      </w:r>
      <w:r w:rsidRPr="009F14CF">
        <w:rPr>
          <w:rFonts w:hint="cs"/>
          <w:rtl/>
        </w:rPr>
        <w:t xml:space="preserve"> מבקש לחדד את מהותה של ההגדרה, לצד הטמעת בחינה רחבה יותר של </w:t>
      </w:r>
      <w:r>
        <w:rPr>
          <w:rFonts w:hint="cs"/>
          <w:rtl/>
        </w:rPr>
        <w:t>המונח "</w:t>
      </w:r>
      <w:r w:rsidRPr="009F14CF">
        <w:rPr>
          <w:rFonts w:hint="cs"/>
          <w:rtl/>
        </w:rPr>
        <w:t>מתחרים</w:t>
      </w:r>
      <w:r>
        <w:rPr>
          <w:rFonts w:hint="cs"/>
          <w:rtl/>
        </w:rPr>
        <w:t xml:space="preserve">" בהשוואה לזו </w:t>
      </w:r>
      <w:r w:rsidRPr="006B72F2">
        <w:rPr>
          <w:rFonts w:hint="cs"/>
          <w:rtl/>
        </w:rPr>
        <w:t xml:space="preserve">הקיימת בכללי ההגבלים </w:t>
      </w:r>
      <w:r w:rsidRPr="006B72F2">
        <w:rPr>
          <w:rFonts w:hint="cs"/>
          <w:rtl/>
        </w:rPr>
        <w:lastRenderedPageBreak/>
        <w:t>העסקיים (הוראות והגדרות כלליות), התשס"ו-2006</w:t>
      </w:r>
      <w:r w:rsidRPr="009F14CF">
        <w:rPr>
          <w:rFonts w:hint="cs"/>
          <w:rtl/>
        </w:rPr>
        <w:t xml:space="preserve">. </w:t>
      </w:r>
      <w:r>
        <w:rPr>
          <w:rFonts w:hint="cs"/>
          <w:rtl/>
        </w:rPr>
        <w:t>יובהר כי אין בתיקון ההגדרה בכדי לשנות את סוגי ההסדרים עליהם יחול פטור הסוג</w:t>
      </w:r>
      <w:r w:rsidR="00BE1A65">
        <w:rPr>
          <w:rFonts w:hint="cs"/>
          <w:rtl/>
        </w:rPr>
        <w:t xml:space="preserve"> המתוקן</w:t>
      </w:r>
      <w:r>
        <w:rPr>
          <w:rFonts w:hint="cs"/>
          <w:rtl/>
        </w:rPr>
        <w:t xml:space="preserve">, אלא מדובר אך בהסרת העמימות שאפפה את ההגדרה טרם התיקון. במסגרת התיקון, </w:t>
      </w:r>
      <w:r w:rsidRPr="009F14CF">
        <w:rPr>
          <w:rFonts w:hint="cs"/>
          <w:rtl/>
        </w:rPr>
        <w:t>החלופה ה</w:t>
      </w:r>
      <w:r>
        <w:rPr>
          <w:rFonts w:hint="cs"/>
          <w:rtl/>
        </w:rPr>
        <w:t>שנייה</w:t>
      </w:r>
      <w:r w:rsidRPr="009F14CF">
        <w:rPr>
          <w:rFonts w:hint="cs"/>
          <w:rtl/>
        </w:rPr>
        <w:t xml:space="preserve"> להגדרה, תגדיר מתחרים כמי ש"סיפקו או רכשו טובין שהם </w:t>
      </w:r>
      <w:r>
        <w:rPr>
          <w:rFonts w:hint="cs"/>
          <w:rtl/>
        </w:rPr>
        <w:t>ת</w:t>
      </w:r>
      <w:r w:rsidRPr="009F14CF">
        <w:rPr>
          <w:rFonts w:hint="cs"/>
          <w:rtl/>
        </w:rPr>
        <w:t>חליפיים בעיני הצרכן".</w:t>
      </w:r>
      <w:r>
        <w:rPr>
          <w:rFonts w:hint="cs"/>
          <w:rtl/>
        </w:rPr>
        <w:t xml:space="preserve"> הלכה </w:t>
      </w:r>
      <w:r w:rsidRPr="009F14CF">
        <w:rPr>
          <w:rFonts w:hint="cs"/>
          <w:rtl/>
        </w:rPr>
        <w:t>למעשה,</w:t>
      </w:r>
      <w:r>
        <w:rPr>
          <w:rFonts w:hint="cs"/>
          <w:rtl/>
        </w:rPr>
        <w:t xml:space="preserve"> חלופה זו מבקשת לבחון את היותם של הצדדים מתחרים על פי מבחן כלכלי של תחליפיות</w:t>
      </w:r>
      <w:r w:rsidRPr="009F14CF">
        <w:rPr>
          <w:rFonts w:hint="cs"/>
          <w:rtl/>
        </w:rPr>
        <w:t xml:space="preserve">. </w:t>
      </w:r>
      <w:r>
        <w:rPr>
          <w:rFonts w:hint="cs"/>
          <w:rtl/>
        </w:rPr>
        <w:t xml:space="preserve">לעומת זאת, </w:t>
      </w:r>
      <w:r w:rsidRPr="009F14CF">
        <w:rPr>
          <w:rFonts w:hint="cs"/>
          <w:rtl/>
        </w:rPr>
        <w:t>החלופה הראשונה להגדרה, תגדיר מתחרים כמי "שהתקיימ</w:t>
      </w:r>
      <w:r>
        <w:rPr>
          <w:rFonts w:hint="cs"/>
          <w:rtl/>
        </w:rPr>
        <w:t>ה</w:t>
      </w:r>
      <w:r w:rsidRPr="009F14CF">
        <w:rPr>
          <w:rFonts w:hint="cs"/>
          <w:rtl/>
        </w:rPr>
        <w:t xml:space="preserve"> ביניהם תחרות</w:t>
      </w:r>
      <w:r>
        <w:rPr>
          <w:rFonts w:hint="cs"/>
          <w:rtl/>
        </w:rPr>
        <w:t xml:space="preserve"> בעסקים</w:t>
      </w:r>
      <w:r w:rsidRPr="009F14CF">
        <w:rPr>
          <w:rFonts w:hint="cs"/>
          <w:rtl/>
        </w:rPr>
        <w:t xml:space="preserve">". חלופה זו, </w:t>
      </w:r>
      <w:r>
        <w:rPr>
          <w:rFonts w:hint="cs"/>
          <w:rtl/>
        </w:rPr>
        <w:t>מבקשת מהצדדים לערוך מבחן עובדתי, שאם יילמד ממנו שהצדדים התחרו זה בזה במהלך תקופת ההסדר או בשלוש השנים שקדמו לו, יש לראות את הצדדים כמתחרים, ובמקרים המתאימים את ההסדר ביניהם כהסדר אופקי</w:t>
      </w:r>
      <w:r w:rsidRPr="009F14CF">
        <w:rPr>
          <w:rFonts w:hint="cs"/>
          <w:rtl/>
        </w:rPr>
        <w:t>.</w:t>
      </w:r>
      <w:r>
        <w:rPr>
          <w:rFonts w:hint="cs"/>
          <w:rtl/>
        </w:rPr>
        <w:t xml:space="preserve"> חלופה זו מפזרת את ערפל העמימות שנוצר מהגדרת מתחרים בפטור הסוג הקודם כיוון שדי בבחינה עובדתית פשוטה בכדי לעמוד על קיומה, בהווה או בעבר, של תחרות בין צדדים להסדר. מן העבר השני, חלופה זו אינה מצטמצמת רק לאותם צדדים הכלולים באותה הגדרת שוק כלכלית. כך לדוגמה: ספקי משאיות עשויים לסבור כי בהתאם להגדרות שוק כלכליות מוצריהם אינם מתחרים זה בזה משום שהמשאיות הן בעלות מפרט שונה או שיש להן יכולות שונות או שמחיריהן שונים זה מזה. אך אם במהלך שלוש השנים שקדמו להסדר מושא הפטור יסתבר, כי שני הספקים התמודדו זה מול זה על אספקת המשאיות שלהם לאותו לקוח </w:t>
      </w:r>
      <w:proofErr w:type="spellStart"/>
      <w:r>
        <w:rPr>
          <w:rFonts w:hint="cs"/>
          <w:rtl/>
        </w:rPr>
        <w:t>שתיחר</w:t>
      </w:r>
      <w:proofErr w:type="spellEnd"/>
      <w:r>
        <w:rPr>
          <w:rFonts w:hint="cs"/>
          <w:rtl/>
        </w:rPr>
        <w:t xml:space="preserve"> ביניהם, הם ייחשבו כמתחרים בהתאם לחלופה הראשונה המצויה בהגדרת מתחרים גם אם אינם עונים על אותה הגדרת שוק. </w:t>
      </w:r>
    </w:p>
    <w:p w:rsidR="00D87699" w:rsidRDefault="00D87699" w:rsidP="00D87699">
      <w:pPr>
        <w:rPr>
          <w:rtl/>
        </w:rPr>
      </w:pPr>
      <w:r>
        <w:rPr>
          <w:rFonts w:ascii="Arial" w:hAnsi="Arial"/>
          <w:rtl/>
        </w:rPr>
        <w:tab/>
      </w:r>
      <w:r>
        <w:rPr>
          <w:rFonts w:ascii="Arial" w:hAnsi="Arial" w:hint="cs"/>
          <w:rtl/>
        </w:rPr>
        <w:t>קושי נוסף שנבע מ</w:t>
      </w:r>
      <w:r w:rsidRPr="00640125">
        <w:rPr>
          <w:rFonts w:ascii="Arial" w:hAnsi="Arial" w:hint="cs"/>
          <w:rtl/>
        </w:rPr>
        <w:t>הגדרת מתחרים בפטור הסוג הק</w:t>
      </w:r>
      <w:r>
        <w:rPr>
          <w:rFonts w:ascii="Arial" w:hAnsi="Arial" w:hint="cs"/>
          <w:rtl/>
        </w:rPr>
        <w:t>ודם נגע לכך ש</w:t>
      </w:r>
      <w:r w:rsidRPr="00640125">
        <w:rPr>
          <w:rFonts w:ascii="Arial" w:hAnsi="Arial" w:hint="cs"/>
          <w:rtl/>
        </w:rPr>
        <w:t xml:space="preserve">הסדרי הפצה </w:t>
      </w:r>
      <w:r>
        <w:rPr>
          <w:rFonts w:ascii="Arial" w:hAnsi="Arial" w:hint="cs"/>
          <w:rtl/>
        </w:rPr>
        <w:t>שבהם, בנוסף למפיץ,</w:t>
      </w:r>
      <w:r w:rsidRPr="00640125">
        <w:rPr>
          <w:rFonts w:ascii="Arial" w:hAnsi="Arial" w:hint="cs"/>
          <w:rtl/>
        </w:rPr>
        <w:t xml:space="preserve"> </w:t>
      </w:r>
      <w:r>
        <w:rPr>
          <w:rFonts w:ascii="Arial" w:hAnsi="Arial" w:hint="cs"/>
          <w:rtl/>
        </w:rPr>
        <w:t xml:space="preserve">גם </w:t>
      </w:r>
      <w:r w:rsidRPr="00640125">
        <w:rPr>
          <w:rFonts w:ascii="Arial" w:hAnsi="Arial" w:hint="cs"/>
          <w:rtl/>
        </w:rPr>
        <w:t>הספק מפיץ את המוצר בעצמו</w:t>
      </w:r>
      <w:r>
        <w:rPr>
          <w:rFonts w:ascii="Arial" w:hAnsi="Arial" w:hint="cs"/>
          <w:rtl/>
        </w:rPr>
        <w:t>,</w:t>
      </w:r>
      <w:r w:rsidRPr="00640125">
        <w:rPr>
          <w:rFonts w:ascii="Arial" w:hAnsi="Arial" w:hint="cs"/>
          <w:rtl/>
        </w:rPr>
        <w:t xml:space="preserve"> עשויים</w:t>
      </w:r>
      <w:r>
        <w:rPr>
          <w:rFonts w:ascii="Arial" w:hAnsi="Arial" w:hint="cs"/>
          <w:rtl/>
        </w:rPr>
        <w:t xml:space="preserve"> היו</w:t>
      </w:r>
      <w:r w:rsidRPr="00640125">
        <w:rPr>
          <w:rFonts w:ascii="Arial" w:hAnsi="Arial" w:hint="cs"/>
          <w:rtl/>
        </w:rPr>
        <w:t xml:space="preserve"> להיחשב כהסדרים אופקיים </w:t>
      </w:r>
      <w:r>
        <w:rPr>
          <w:rFonts w:ascii="Arial" w:hAnsi="Arial" w:hint="cs"/>
          <w:rtl/>
        </w:rPr>
        <w:t>משום</w:t>
      </w:r>
      <w:r w:rsidRPr="00640125">
        <w:rPr>
          <w:rFonts w:ascii="Arial" w:hAnsi="Arial" w:hint="cs"/>
          <w:rtl/>
        </w:rPr>
        <w:t xml:space="preserve"> שהספק </w:t>
      </w:r>
      <w:r>
        <w:rPr>
          <w:rFonts w:ascii="Arial" w:hAnsi="Arial" w:hint="cs"/>
          <w:rtl/>
        </w:rPr>
        <w:t>והמפיץ עוסקים בהפצת אותו המוצר</w:t>
      </w:r>
      <w:r w:rsidRPr="00640125">
        <w:rPr>
          <w:rFonts w:ascii="Arial" w:hAnsi="Arial" w:hint="cs"/>
          <w:rtl/>
        </w:rPr>
        <w:t xml:space="preserve">. זאת למרות שמדובר </w:t>
      </w:r>
      <w:r>
        <w:rPr>
          <w:rFonts w:ascii="Arial" w:hAnsi="Arial" w:hint="cs"/>
          <w:rtl/>
        </w:rPr>
        <w:t>בהסדרים שהם אנכיים במהותם. לכך באו ההבהרות בסוף סעיפי משנה (1) ו-(2) שמטרתן להפיג</w:t>
      </w:r>
      <w:r w:rsidRPr="00BB0ECC">
        <w:rPr>
          <w:rFonts w:ascii="Arial" w:hAnsi="Arial" w:hint="cs"/>
          <w:rtl/>
        </w:rPr>
        <w:t xml:space="preserve"> את הספק הקיים ביחס להסדרי הפצה </w:t>
      </w:r>
      <w:r>
        <w:rPr>
          <w:rFonts w:ascii="Arial" w:hAnsi="Arial" w:hint="cs"/>
          <w:rtl/>
        </w:rPr>
        <w:t>בין ספק ומפיץ</w:t>
      </w:r>
      <w:r w:rsidRPr="00BB0ECC">
        <w:rPr>
          <w:rFonts w:ascii="Arial" w:hAnsi="Arial" w:hint="cs"/>
          <w:rtl/>
        </w:rPr>
        <w:t xml:space="preserve"> ו</w:t>
      </w:r>
      <w:r>
        <w:rPr>
          <w:rFonts w:ascii="Arial" w:hAnsi="Arial" w:hint="cs"/>
          <w:rtl/>
        </w:rPr>
        <w:t>לקבוע,</w:t>
      </w:r>
      <w:r w:rsidRPr="00BB0ECC">
        <w:rPr>
          <w:rFonts w:ascii="Arial" w:hAnsi="Arial" w:hint="cs"/>
          <w:rtl/>
        </w:rPr>
        <w:t xml:space="preserve"> כי ביחס להסדרים </w:t>
      </w:r>
      <w:r>
        <w:rPr>
          <w:rFonts w:ascii="Arial" w:hAnsi="Arial" w:hint="cs"/>
          <w:rtl/>
        </w:rPr>
        <w:t>אלה</w:t>
      </w:r>
      <w:r w:rsidRPr="00BB0ECC">
        <w:rPr>
          <w:rFonts w:ascii="Arial" w:hAnsi="Arial" w:hint="cs"/>
          <w:rtl/>
        </w:rPr>
        <w:t>, אין ב</w:t>
      </w:r>
      <w:r>
        <w:rPr>
          <w:rFonts w:ascii="Arial" w:hAnsi="Arial" w:hint="cs"/>
          <w:rtl/>
        </w:rPr>
        <w:t>עצם ה</w:t>
      </w:r>
      <w:r w:rsidRPr="00BB0ECC">
        <w:rPr>
          <w:rFonts w:ascii="Arial" w:hAnsi="Arial" w:hint="cs"/>
          <w:rtl/>
        </w:rPr>
        <w:t>עובדה שהספק מספק את הטובין בעצמו כדי לשלול את תחולת פטור הסוג על ההסדר.</w:t>
      </w:r>
      <w:r w:rsidRPr="009F14CF">
        <w:rPr>
          <w:rFonts w:hint="cs"/>
          <w:rtl/>
        </w:rPr>
        <w:t xml:space="preserve"> </w:t>
      </w:r>
    </w:p>
    <w:p w:rsidR="00D87699" w:rsidRDefault="00D87699" w:rsidP="00FB555F">
      <w:pPr>
        <w:rPr>
          <w:rtl/>
        </w:rPr>
      </w:pPr>
      <w:r>
        <w:rPr>
          <w:b/>
          <w:bCs/>
          <w:rtl/>
        </w:rPr>
        <w:tab/>
      </w:r>
      <w:r w:rsidR="00FB555F">
        <w:rPr>
          <w:rFonts w:hint="cs"/>
          <w:b/>
          <w:bCs/>
          <w:rtl/>
        </w:rPr>
        <w:t>פסקה</w:t>
      </w:r>
      <w:r>
        <w:rPr>
          <w:rFonts w:hint="cs"/>
          <w:b/>
          <w:bCs/>
          <w:rtl/>
        </w:rPr>
        <w:t xml:space="preserve"> (3) להגדרה: </w:t>
      </w:r>
      <w:r>
        <w:rPr>
          <w:rFonts w:hint="cs"/>
          <w:rtl/>
        </w:rPr>
        <w:t xml:space="preserve">חלופה זו באה לכלול מתחרים פוטנציאליים, דהיינו, מקרים בהם בזמן כריתת ההסדר הכובל או בתקופה שקדמה לו, הצדדים אינם מתחרים, אך קיימת היתכנות סבירה שהצדדים היו מתחרים אלמלא ההסדר או יתחרו זה בזה בעתיד. הבחינה מיהו מתחרה פוטנציאלי היא בחינה עובדתית הבוחנת את השאלה, האם ההסדר משפיע על תמריצי צד להסדר להתחיל להתחרות, או את מסוגלותו של צד להסדר להתחיל להתחרות באופן </w:t>
      </w:r>
      <w:proofErr w:type="spellStart"/>
      <w:r>
        <w:rPr>
          <w:rFonts w:hint="cs"/>
          <w:rtl/>
        </w:rPr>
        <w:t>מיידי</w:t>
      </w:r>
      <w:proofErr w:type="spellEnd"/>
      <w:r>
        <w:rPr>
          <w:rFonts w:hint="cs"/>
          <w:rtl/>
        </w:rPr>
        <w:t xml:space="preserve"> או את כוונתו של צד להסדר להתחיל להתחרות במועד קרוב.</w:t>
      </w:r>
      <w:r>
        <w:rPr>
          <w:rStyle w:val="FootnoteReference"/>
          <w:rtl/>
        </w:rPr>
        <w:footnoteReference w:id="2"/>
      </w:r>
      <w:r>
        <w:rPr>
          <w:rFonts w:hint="cs"/>
          <w:rtl/>
        </w:rPr>
        <w:t xml:space="preserve"> הסדרים בין מתחרים פוטנציאליים העוסקים בטובין שלגביהם הצדדים מהווים מתחרים פוטנציאליים, עשויים להיות בעלי השפעה אופקית על התחרות, בהווה או בעתיד, ולכן ראויים להיבחן כהסדרים אופקיים ולא לחסות תחת פטור הסוג להסדרים שאינם אופקיים.     </w:t>
      </w:r>
    </w:p>
    <w:p w:rsidR="00D87699" w:rsidRPr="0002732C" w:rsidRDefault="00D87699" w:rsidP="00FB555F">
      <w:pPr>
        <w:rPr>
          <w:rtl/>
        </w:rPr>
      </w:pPr>
      <w:r w:rsidRPr="004E2688">
        <w:rPr>
          <w:b/>
          <w:bCs/>
          <w:rtl/>
        </w:rPr>
        <w:tab/>
      </w:r>
      <w:r w:rsidR="00FB555F">
        <w:rPr>
          <w:rFonts w:hint="cs"/>
          <w:b/>
          <w:bCs/>
          <w:rtl/>
        </w:rPr>
        <w:t>פסקה</w:t>
      </w:r>
      <w:r w:rsidRPr="004E2688">
        <w:rPr>
          <w:b/>
          <w:bCs/>
          <w:rtl/>
        </w:rPr>
        <w:t xml:space="preserve"> (</w:t>
      </w:r>
      <w:r>
        <w:rPr>
          <w:rFonts w:hint="cs"/>
          <w:b/>
          <w:bCs/>
          <w:rtl/>
        </w:rPr>
        <w:t>4</w:t>
      </w:r>
      <w:r w:rsidRPr="004E2688">
        <w:rPr>
          <w:b/>
          <w:bCs/>
          <w:rtl/>
        </w:rPr>
        <w:t>)</w:t>
      </w:r>
      <w:r>
        <w:rPr>
          <w:rFonts w:hint="cs"/>
          <w:b/>
          <w:bCs/>
          <w:rtl/>
        </w:rPr>
        <w:t xml:space="preserve"> להגדרה</w:t>
      </w:r>
      <w:r w:rsidRPr="004E2688">
        <w:rPr>
          <w:b/>
          <w:bCs/>
          <w:rtl/>
        </w:rPr>
        <w:t xml:space="preserve">: </w:t>
      </w:r>
      <w:r w:rsidRPr="004E2688">
        <w:rPr>
          <w:rFonts w:hint="cs"/>
          <w:rtl/>
        </w:rPr>
        <w:t>חלופה</w:t>
      </w:r>
      <w:r w:rsidRPr="004E2688">
        <w:rPr>
          <w:rtl/>
        </w:rPr>
        <w:t xml:space="preserve"> זו באה למנוע קיומם של הסדרים</w:t>
      </w:r>
      <w:r>
        <w:rPr>
          <w:rFonts w:hint="cs"/>
          <w:rtl/>
        </w:rPr>
        <w:t>,</w:t>
      </w:r>
      <w:r w:rsidRPr="004E2688">
        <w:rPr>
          <w:rtl/>
        </w:rPr>
        <w:t xml:space="preserve"> </w:t>
      </w:r>
      <w:r>
        <w:rPr>
          <w:rFonts w:hint="cs"/>
          <w:rtl/>
        </w:rPr>
        <w:t>כאשר לדעת</w:t>
      </w:r>
      <w:r w:rsidRPr="004E2688">
        <w:rPr>
          <w:rtl/>
        </w:rPr>
        <w:t xml:space="preserve"> מי מהצדדים </w:t>
      </w:r>
      <w:r>
        <w:rPr>
          <w:rFonts w:hint="cs"/>
          <w:rtl/>
        </w:rPr>
        <w:lastRenderedPageBreak/>
        <w:t xml:space="preserve">להסדר </w:t>
      </w:r>
      <w:r w:rsidRPr="004E2688">
        <w:rPr>
          <w:rtl/>
        </w:rPr>
        <w:t xml:space="preserve">קיים איום תחרותי </w:t>
      </w:r>
      <w:proofErr w:type="spellStart"/>
      <w:r w:rsidRPr="004E2688">
        <w:rPr>
          <w:rFonts w:hint="cs"/>
          <w:rtl/>
        </w:rPr>
        <w:t>מצידו</w:t>
      </w:r>
      <w:proofErr w:type="spellEnd"/>
      <w:r w:rsidRPr="004E2688">
        <w:rPr>
          <w:rtl/>
        </w:rPr>
        <w:t xml:space="preserve"> של </w:t>
      </w:r>
      <w:r>
        <w:rPr>
          <w:rFonts w:hint="cs"/>
          <w:rtl/>
        </w:rPr>
        <w:t>הצד האחר להסדר,</w:t>
      </w:r>
      <w:r w:rsidRPr="004E2688">
        <w:rPr>
          <w:rtl/>
        </w:rPr>
        <w:t xml:space="preserve"> </w:t>
      </w:r>
      <w:r>
        <w:rPr>
          <w:rFonts w:hint="cs"/>
          <w:rtl/>
        </w:rPr>
        <w:t xml:space="preserve">וההסדר נועד </w:t>
      </w:r>
      <w:r w:rsidRPr="004E2688">
        <w:rPr>
          <w:rFonts w:hint="cs"/>
          <w:rtl/>
        </w:rPr>
        <w:t>למנוע</w:t>
      </w:r>
      <w:r w:rsidRPr="004E2688">
        <w:rPr>
          <w:rtl/>
        </w:rPr>
        <w:t xml:space="preserve"> </w:t>
      </w:r>
      <w:r w:rsidRPr="004E2688">
        <w:rPr>
          <w:rFonts w:hint="cs"/>
          <w:rtl/>
        </w:rPr>
        <w:t>איום</w:t>
      </w:r>
      <w:r w:rsidRPr="004E2688">
        <w:rPr>
          <w:rtl/>
        </w:rPr>
        <w:t xml:space="preserve"> </w:t>
      </w:r>
      <w:r w:rsidRPr="004E2688">
        <w:rPr>
          <w:rFonts w:hint="cs"/>
          <w:rtl/>
        </w:rPr>
        <w:t>תחרותי</w:t>
      </w:r>
      <w:r w:rsidRPr="004E2688">
        <w:rPr>
          <w:rtl/>
        </w:rPr>
        <w:t xml:space="preserve"> </w:t>
      </w:r>
      <w:r w:rsidRPr="004E2688">
        <w:rPr>
          <w:rFonts w:hint="cs"/>
          <w:rtl/>
        </w:rPr>
        <w:t>זה</w:t>
      </w:r>
      <w:r>
        <w:rPr>
          <w:rFonts w:hint="cs"/>
          <w:rtl/>
        </w:rPr>
        <w:t>, וזאת אף במקרים בהם מבחינה אובייקטיבית הצדדים אינם מתחרים זה בזה על פי החלופות הקבועות בסעיפי משנה (1) ו- (2) להגדרה</w:t>
      </w:r>
      <w:r w:rsidRPr="004E2688">
        <w:rPr>
          <w:rtl/>
        </w:rPr>
        <w:t>. יובהר, כי אין בכוונת סעיף משנה</w:t>
      </w:r>
      <w:r>
        <w:rPr>
          <w:rFonts w:hint="cs"/>
          <w:rtl/>
        </w:rPr>
        <w:t xml:space="preserve"> זה</w:t>
      </w:r>
      <w:r w:rsidRPr="004E2688">
        <w:rPr>
          <w:rtl/>
        </w:rPr>
        <w:t xml:space="preserve"> למנוע הסדרי אי תחרות לגיטימיים שנלווים פעמים רבות לשיתופי פעולה </w:t>
      </w:r>
      <w:r w:rsidRPr="004E2688">
        <w:rPr>
          <w:rFonts w:hint="cs"/>
          <w:rtl/>
        </w:rPr>
        <w:t>אנכיים</w:t>
      </w:r>
      <w:r w:rsidRPr="004E2688">
        <w:rPr>
          <w:rtl/>
        </w:rPr>
        <w:t xml:space="preserve"> </w:t>
      </w:r>
      <w:r w:rsidRPr="004E2688">
        <w:rPr>
          <w:rFonts w:hint="cs"/>
          <w:rtl/>
        </w:rPr>
        <w:t>בין</w:t>
      </w:r>
      <w:r w:rsidRPr="004E2688">
        <w:rPr>
          <w:rtl/>
        </w:rPr>
        <w:t xml:space="preserve"> </w:t>
      </w:r>
      <w:r w:rsidRPr="004E2688">
        <w:rPr>
          <w:rFonts w:hint="cs"/>
          <w:rtl/>
        </w:rPr>
        <w:t>חוליות</w:t>
      </w:r>
      <w:r w:rsidRPr="004E2688">
        <w:rPr>
          <w:rtl/>
        </w:rPr>
        <w:t xml:space="preserve"> שונות בשרשרת הייצור והאספקה (כגון הסדרי אי תחרות במסגרת הסדר הפצה בין ספק למפיץ).      </w:t>
      </w:r>
    </w:p>
    <w:p w:rsidR="00D87699" w:rsidRDefault="00D87699" w:rsidP="00D87699">
      <w:pPr>
        <w:rPr>
          <w:rtl/>
        </w:rPr>
      </w:pPr>
    </w:p>
    <w:p w:rsidR="00D87699" w:rsidRPr="009A7C74" w:rsidRDefault="00D87699" w:rsidP="00D87699">
      <w:pPr>
        <w:rPr>
          <w:rtl/>
        </w:rPr>
      </w:pPr>
      <w:r>
        <w:rPr>
          <w:rFonts w:hint="cs"/>
          <w:b/>
          <w:bCs/>
          <w:rtl/>
        </w:rPr>
        <w:t>סעיף 3</w:t>
      </w:r>
      <w:r>
        <w:rPr>
          <w:b/>
          <w:bCs/>
          <w:rtl/>
        </w:rPr>
        <w:tab/>
      </w:r>
      <w:r w:rsidRPr="0016717A">
        <w:rPr>
          <w:rFonts w:hint="cs"/>
          <w:rtl/>
        </w:rPr>
        <w:t xml:space="preserve">מתבקש לתקן את סעיף 4 לכללי פטור הסוג, כך שתוקפם יוארך </w:t>
      </w:r>
      <w:r>
        <w:rPr>
          <w:rFonts w:hint="cs"/>
          <w:rtl/>
        </w:rPr>
        <w:t>עד ליום 15.9.2021</w:t>
      </w:r>
      <w:r w:rsidRPr="0016717A">
        <w:rPr>
          <w:rFonts w:hint="cs"/>
          <w:rtl/>
        </w:rPr>
        <w:t>.</w:t>
      </w:r>
    </w:p>
    <w:p w:rsidR="00FA03AE" w:rsidRDefault="00FA03AE"/>
    <w:sectPr w:rsidR="00FA03AE">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967" w:rsidRDefault="00255967" w:rsidP="00D87699">
      <w:pPr>
        <w:spacing w:line="240" w:lineRule="auto"/>
      </w:pPr>
      <w:r>
        <w:separator/>
      </w:r>
    </w:p>
  </w:endnote>
  <w:endnote w:type="continuationSeparator" w:id="0">
    <w:p w:rsidR="00255967" w:rsidRDefault="00255967" w:rsidP="00D876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B1"/>
    <w:family w:val="swiss"/>
    <w:pitch w:val="variable"/>
    <w:sig w:usb0="00000801" w:usb1="00000000" w:usb2="00000000" w:usb3="00000000" w:csb0="0000002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967" w:rsidRDefault="00255967" w:rsidP="00D87699">
      <w:pPr>
        <w:spacing w:line="240" w:lineRule="auto"/>
      </w:pPr>
      <w:r>
        <w:separator/>
      </w:r>
    </w:p>
  </w:footnote>
  <w:footnote w:type="continuationSeparator" w:id="0">
    <w:p w:rsidR="00255967" w:rsidRDefault="00255967" w:rsidP="00D87699">
      <w:pPr>
        <w:spacing w:line="240" w:lineRule="auto"/>
      </w:pPr>
      <w:r>
        <w:continuationSeparator/>
      </w:r>
    </w:p>
  </w:footnote>
  <w:footnote w:id="1">
    <w:p w:rsidR="00D87699" w:rsidRPr="000E465D" w:rsidRDefault="00D87699" w:rsidP="00D87699">
      <w:pPr>
        <w:pStyle w:val="FootnoteText"/>
        <w:jc w:val="both"/>
        <w:rPr>
          <w:rtl/>
        </w:rPr>
      </w:pPr>
      <w:r w:rsidRPr="000E465D">
        <w:rPr>
          <w:rStyle w:val="FootnoteReference"/>
        </w:rPr>
        <w:footnoteRef/>
      </w:r>
      <w:r w:rsidRPr="000E465D">
        <w:t xml:space="preserve"> </w:t>
      </w:r>
      <w:r w:rsidRPr="000E465D">
        <w:rPr>
          <w:rFonts w:hint="cs"/>
          <w:rtl/>
        </w:rPr>
        <w:t xml:space="preserve"> ראו דברי הסבר לכללי ההגבלים העסקיים (פטור סוג להסדרים שאינם אופקיים ואין בהם כבילות מחיר מסוימות), התשע"ג-2013 (24.7.2013) </w:t>
      </w:r>
      <w:r w:rsidRPr="000E465D">
        <w:rPr>
          <w:rFonts w:hint="cs"/>
          <w:b/>
          <w:bCs/>
          <w:rtl/>
        </w:rPr>
        <w:t>הגבלים עסקיים</w:t>
      </w:r>
      <w:r w:rsidRPr="000E465D">
        <w:rPr>
          <w:rFonts w:hint="cs"/>
          <w:rtl/>
        </w:rPr>
        <w:t xml:space="preserve"> 500435.</w:t>
      </w:r>
    </w:p>
  </w:footnote>
  <w:footnote w:id="2">
    <w:p w:rsidR="00D87699" w:rsidRDefault="00D87699" w:rsidP="00D87699">
      <w:pPr>
        <w:pStyle w:val="FootnoteText"/>
        <w:jc w:val="both"/>
      </w:pPr>
      <w:r>
        <w:rPr>
          <w:rStyle w:val="FootnoteReference"/>
        </w:rPr>
        <w:footnoteRef/>
      </w:r>
      <w:r>
        <w:rPr>
          <w:rtl/>
        </w:rPr>
        <w:t xml:space="preserve"> </w:t>
      </w:r>
      <w:r>
        <w:rPr>
          <w:rFonts w:hint="cs"/>
          <w:rtl/>
        </w:rPr>
        <w:t xml:space="preserve">הגדרה דומה אך לא זהה מופיעה בכללי </w:t>
      </w:r>
      <w:r w:rsidRPr="006B72F2">
        <w:rPr>
          <w:rFonts w:hint="cs"/>
          <w:rtl/>
        </w:rPr>
        <w:t>ההגבלים העסקיים (הוראות והגדרות כלליות), התשס"ו-</w:t>
      </w:r>
      <w:r>
        <w:rPr>
          <w:rFonts w:hint="cs"/>
          <w:rtl/>
        </w:rPr>
        <w:t>2006.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699" w:rsidRDefault="00D87699" w:rsidP="00D87699">
    <w:pPr>
      <w:pStyle w:val="Header"/>
      <w:jc w:val="center"/>
    </w:pPr>
    <w:r>
      <w:rPr>
        <w:noProof/>
      </w:rPr>
      <w:drawing>
        <wp:inline distT="0" distB="0" distL="0" distR="0" wp14:anchorId="7BD2FFB9" wp14:editId="68A95D3B">
          <wp:extent cx="533400" cy="845185"/>
          <wp:effectExtent l="0" t="0" r="0" b="0"/>
          <wp:docPr id="2" name="תמונה 2" descr="cid:image003.png@01CE8612.6B34F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cid:image003.png@01CE8612.6B34F8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33400" cy="84518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699"/>
    <w:rsid w:val="00255967"/>
    <w:rsid w:val="00654D57"/>
    <w:rsid w:val="00787222"/>
    <w:rsid w:val="00866157"/>
    <w:rsid w:val="009644AE"/>
    <w:rsid w:val="00BE1A65"/>
    <w:rsid w:val="00D87699"/>
    <w:rsid w:val="00FA03AE"/>
    <w:rsid w:val="00FB555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699"/>
    <w:pPr>
      <w:widowControl w:val="0"/>
      <w:bidi/>
      <w:spacing w:after="0" w:line="360" w:lineRule="auto"/>
      <w:ind w:left="340"/>
      <w:contextualSpacing/>
      <w:jc w:val="both"/>
    </w:pPr>
    <w:rPr>
      <w:rFonts w:ascii="David" w:hAnsi="David" w:cs="Davi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DivreiHesber">
    <w:name w:val="Head DivreiHesber"/>
    <w:basedOn w:val="Normal"/>
    <w:rsid w:val="00D87699"/>
    <w:pPr>
      <w:snapToGrid w:val="0"/>
      <w:spacing w:before="360" w:after="120"/>
      <w:jc w:val="center"/>
      <w:outlineLvl w:val="1"/>
    </w:pPr>
    <w:rPr>
      <w:rFonts w:ascii="Arial" w:eastAsia="Arial Unicode MS" w:hAnsi="Arial"/>
      <w:b/>
      <w:snapToGrid w:val="0"/>
      <w:spacing w:val="40"/>
      <w:sz w:val="20"/>
      <w:szCs w:val="26"/>
    </w:rPr>
  </w:style>
  <w:style w:type="paragraph" w:styleId="FootnoteText">
    <w:name w:val="footnote text"/>
    <w:basedOn w:val="Normal"/>
    <w:link w:val="FootnoteTextChar"/>
    <w:autoRedefine/>
    <w:uiPriority w:val="99"/>
    <w:rsid w:val="00D87699"/>
    <w:pPr>
      <w:snapToGrid w:val="0"/>
      <w:spacing w:line="240" w:lineRule="auto"/>
      <w:ind w:left="0"/>
      <w:jc w:val="left"/>
    </w:pPr>
    <w:rPr>
      <w:rFonts w:ascii="Arial" w:eastAsia="Arial Unicode MS" w:hAnsi="Arial"/>
      <w:snapToGrid w:val="0"/>
      <w:sz w:val="14"/>
      <w:szCs w:val="20"/>
    </w:rPr>
  </w:style>
  <w:style w:type="character" w:customStyle="1" w:styleId="FootnoteTextChar">
    <w:name w:val="Footnote Text Char"/>
    <w:basedOn w:val="DefaultParagraphFont"/>
    <w:link w:val="FootnoteText"/>
    <w:uiPriority w:val="99"/>
    <w:rsid w:val="00D87699"/>
    <w:rPr>
      <w:rFonts w:ascii="Arial" w:eastAsia="Arial Unicode MS" w:hAnsi="Arial" w:cs="David"/>
      <w:snapToGrid w:val="0"/>
      <w:sz w:val="14"/>
      <w:szCs w:val="20"/>
    </w:rPr>
  </w:style>
  <w:style w:type="character" w:styleId="FootnoteReference">
    <w:name w:val="footnote reference"/>
    <w:basedOn w:val="DefaultParagraphFont"/>
    <w:uiPriority w:val="99"/>
    <w:rsid w:val="00D87699"/>
    <w:rPr>
      <w:vertAlign w:val="superscript"/>
    </w:rPr>
  </w:style>
  <w:style w:type="paragraph" w:customStyle="1" w:styleId="HeadHatzaotHok">
    <w:name w:val="Head HatzaotHok"/>
    <w:basedOn w:val="Normal"/>
    <w:rsid w:val="00D87699"/>
    <w:pPr>
      <w:keepNext/>
      <w:keepLines/>
      <w:snapToGrid w:val="0"/>
      <w:spacing w:before="240"/>
      <w:jc w:val="center"/>
      <w:outlineLvl w:val="0"/>
    </w:pPr>
    <w:rPr>
      <w:rFonts w:ascii="Arial" w:eastAsia="Arial Unicode MS" w:hAnsi="Arial"/>
      <w:b/>
      <w:bCs/>
      <w:snapToGrid w:val="0"/>
      <w:sz w:val="20"/>
      <w:szCs w:val="26"/>
    </w:rPr>
  </w:style>
  <w:style w:type="paragraph" w:styleId="Header">
    <w:name w:val="header"/>
    <w:basedOn w:val="Normal"/>
    <w:link w:val="HeaderChar"/>
    <w:uiPriority w:val="99"/>
    <w:unhideWhenUsed/>
    <w:rsid w:val="00D87699"/>
    <w:pPr>
      <w:tabs>
        <w:tab w:val="center" w:pos="4320"/>
        <w:tab w:val="right" w:pos="8640"/>
      </w:tabs>
      <w:spacing w:line="240" w:lineRule="auto"/>
    </w:pPr>
  </w:style>
  <w:style w:type="character" w:customStyle="1" w:styleId="HeaderChar">
    <w:name w:val="Header Char"/>
    <w:basedOn w:val="DefaultParagraphFont"/>
    <w:link w:val="Header"/>
    <w:uiPriority w:val="99"/>
    <w:rsid w:val="00D87699"/>
    <w:rPr>
      <w:rFonts w:ascii="David" w:hAnsi="David" w:cs="David"/>
      <w:sz w:val="24"/>
      <w:szCs w:val="24"/>
    </w:rPr>
  </w:style>
  <w:style w:type="paragraph" w:styleId="Footer">
    <w:name w:val="footer"/>
    <w:basedOn w:val="Normal"/>
    <w:link w:val="FooterChar"/>
    <w:uiPriority w:val="99"/>
    <w:unhideWhenUsed/>
    <w:rsid w:val="00D87699"/>
    <w:pPr>
      <w:tabs>
        <w:tab w:val="center" w:pos="4320"/>
        <w:tab w:val="right" w:pos="8640"/>
      </w:tabs>
      <w:spacing w:line="240" w:lineRule="auto"/>
    </w:pPr>
  </w:style>
  <w:style w:type="character" w:customStyle="1" w:styleId="FooterChar">
    <w:name w:val="Footer Char"/>
    <w:basedOn w:val="DefaultParagraphFont"/>
    <w:link w:val="Footer"/>
    <w:uiPriority w:val="99"/>
    <w:rsid w:val="00D87699"/>
    <w:rPr>
      <w:rFonts w:ascii="David" w:hAnsi="David" w:cs="David"/>
      <w:sz w:val="24"/>
      <w:szCs w:val="24"/>
    </w:rPr>
  </w:style>
  <w:style w:type="paragraph" w:styleId="BalloonText">
    <w:name w:val="Balloon Text"/>
    <w:basedOn w:val="Normal"/>
    <w:link w:val="BalloonTextChar"/>
    <w:uiPriority w:val="99"/>
    <w:semiHidden/>
    <w:unhideWhenUsed/>
    <w:rsid w:val="00D876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6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699"/>
    <w:pPr>
      <w:widowControl w:val="0"/>
      <w:bidi/>
      <w:spacing w:after="0" w:line="360" w:lineRule="auto"/>
      <w:ind w:left="340"/>
      <w:contextualSpacing/>
      <w:jc w:val="both"/>
    </w:pPr>
    <w:rPr>
      <w:rFonts w:ascii="David" w:hAnsi="David" w:cs="Davi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DivreiHesber">
    <w:name w:val="Head DivreiHesber"/>
    <w:basedOn w:val="Normal"/>
    <w:rsid w:val="00D87699"/>
    <w:pPr>
      <w:snapToGrid w:val="0"/>
      <w:spacing w:before="360" w:after="120"/>
      <w:jc w:val="center"/>
      <w:outlineLvl w:val="1"/>
    </w:pPr>
    <w:rPr>
      <w:rFonts w:ascii="Arial" w:eastAsia="Arial Unicode MS" w:hAnsi="Arial"/>
      <w:b/>
      <w:snapToGrid w:val="0"/>
      <w:spacing w:val="40"/>
      <w:sz w:val="20"/>
      <w:szCs w:val="26"/>
    </w:rPr>
  </w:style>
  <w:style w:type="paragraph" w:styleId="FootnoteText">
    <w:name w:val="footnote text"/>
    <w:basedOn w:val="Normal"/>
    <w:link w:val="FootnoteTextChar"/>
    <w:autoRedefine/>
    <w:uiPriority w:val="99"/>
    <w:rsid w:val="00D87699"/>
    <w:pPr>
      <w:snapToGrid w:val="0"/>
      <w:spacing w:line="240" w:lineRule="auto"/>
      <w:ind w:left="0"/>
      <w:jc w:val="left"/>
    </w:pPr>
    <w:rPr>
      <w:rFonts w:ascii="Arial" w:eastAsia="Arial Unicode MS" w:hAnsi="Arial"/>
      <w:snapToGrid w:val="0"/>
      <w:sz w:val="14"/>
      <w:szCs w:val="20"/>
    </w:rPr>
  </w:style>
  <w:style w:type="character" w:customStyle="1" w:styleId="FootnoteTextChar">
    <w:name w:val="Footnote Text Char"/>
    <w:basedOn w:val="DefaultParagraphFont"/>
    <w:link w:val="FootnoteText"/>
    <w:uiPriority w:val="99"/>
    <w:rsid w:val="00D87699"/>
    <w:rPr>
      <w:rFonts w:ascii="Arial" w:eastAsia="Arial Unicode MS" w:hAnsi="Arial" w:cs="David"/>
      <w:snapToGrid w:val="0"/>
      <w:sz w:val="14"/>
      <w:szCs w:val="20"/>
    </w:rPr>
  </w:style>
  <w:style w:type="character" w:styleId="FootnoteReference">
    <w:name w:val="footnote reference"/>
    <w:basedOn w:val="DefaultParagraphFont"/>
    <w:uiPriority w:val="99"/>
    <w:rsid w:val="00D87699"/>
    <w:rPr>
      <w:vertAlign w:val="superscript"/>
    </w:rPr>
  </w:style>
  <w:style w:type="paragraph" w:customStyle="1" w:styleId="HeadHatzaotHok">
    <w:name w:val="Head HatzaotHok"/>
    <w:basedOn w:val="Normal"/>
    <w:rsid w:val="00D87699"/>
    <w:pPr>
      <w:keepNext/>
      <w:keepLines/>
      <w:snapToGrid w:val="0"/>
      <w:spacing w:before="240"/>
      <w:jc w:val="center"/>
      <w:outlineLvl w:val="0"/>
    </w:pPr>
    <w:rPr>
      <w:rFonts w:ascii="Arial" w:eastAsia="Arial Unicode MS" w:hAnsi="Arial"/>
      <w:b/>
      <w:bCs/>
      <w:snapToGrid w:val="0"/>
      <w:sz w:val="20"/>
      <w:szCs w:val="26"/>
    </w:rPr>
  </w:style>
  <w:style w:type="paragraph" w:styleId="Header">
    <w:name w:val="header"/>
    <w:basedOn w:val="Normal"/>
    <w:link w:val="HeaderChar"/>
    <w:uiPriority w:val="99"/>
    <w:unhideWhenUsed/>
    <w:rsid w:val="00D87699"/>
    <w:pPr>
      <w:tabs>
        <w:tab w:val="center" w:pos="4320"/>
        <w:tab w:val="right" w:pos="8640"/>
      </w:tabs>
      <w:spacing w:line="240" w:lineRule="auto"/>
    </w:pPr>
  </w:style>
  <w:style w:type="character" w:customStyle="1" w:styleId="HeaderChar">
    <w:name w:val="Header Char"/>
    <w:basedOn w:val="DefaultParagraphFont"/>
    <w:link w:val="Header"/>
    <w:uiPriority w:val="99"/>
    <w:rsid w:val="00D87699"/>
    <w:rPr>
      <w:rFonts w:ascii="David" w:hAnsi="David" w:cs="David"/>
      <w:sz w:val="24"/>
      <w:szCs w:val="24"/>
    </w:rPr>
  </w:style>
  <w:style w:type="paragraph" w:styleId="Footer">
    <w:name w:val="footer"/>
    <w:basedOn w:val="Normal"/>
    <w:link w:val="FooterChar"/>
    <w:uiPriority w:val="99"/>
    <w:unhideWhenUsed/>
    <w:rsid w:val="00D87699"/>
    <w:pPr>
      <w:tabs>
        <w:tab w:val="center" w:pos="4320"/>
        <w:tab w:val="right" w:pos="8640"/>
      </w:tabs>
      <w:spacing w:line="240" w:lineRule="auto"/>
    </w:pPr>
  </w:style>
  <w:style w:type="character" w:customStyle="1" w:styleId="FooterChar">
    <w:name w:val="Footer Char"/>
    <w:basedOn w:val="DefaultParagraphFont"/>
    <w:link w:val="Footer"/>
    <w:uiPriority w:val="99"/>
    <w:rsid w:val="00D87699"/>
    <w:rPr>
      <w:rFonts w:ascii="David" w:hAnsi="David" w:cs="David"/>
      <w:sz w:val="24"/>
      <w:szCs w:val="24"/>
    </w:rPr>
  </w:style>
  <w:style w:type="paragraph" w:styleId="BalloonText">
    <w:name w:val="Balloon Text"/>
    <w:basedOn w:val="Normal"/>
    <w:link w:val="BalloonTextChar"/>
    <w:uiPriority w:val="99"/>
    <w:semiHidden/>
    <w:unhideWhenUsed/>
    <w:rsid w:val="00D876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6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3.png@01CE8612.6B34F89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837</Words>
  <Characters>4185</Characters>
  <Application>Microsoft Office Word</Application>
  <DocSecurity>4</DocSecurity>
  <Lines>34</Lines>
  <Paragraphs>10</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Rashut_doamin</Company>
  <LinksUpToDate>false</LinksUpToDate>
  <CharactersWithSpaces>5012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Yuval Ravid</dc:creator>
  <cp:lastModifiedBy>Melita Shafir</cp:lastModifiedBy>
  <cp:revision>2</cp:revision>
  <cp:lastPrinted>2018-07-16T12:04:00Z</cp:lastPrinted>
  <dcterms:created xsi:type="dcterms:W3CDTF">2018-07-16T12:05:00Z</dcterms:created>
  <dcterms:modified xsi:type="dcterms:W3CDTF">2018-07-16T12:05:00Z</dcterms:modified>
</cp:coreProperties>
</file>